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156" w:beforeLines="50"/>
        <w:jc w:val="center"/>
        <w:rPr>
          <w:rFonts w:hint="eastAsia" w:ascii="黑体" w:hAnsi="黑体" w:eastAsia="黑体"/>
          <w:b/>
          <w:color w:val="000000"/>
          <w:sz w:val="40"/>
          <w:szCs w:val="44"/>
          <w:lang w:eastAsia="zh-CN"/>
        </w:rPr>
      </w:pPr>
      <w:bookmarkStart w:id="0" w:name="_Toc414266274"/>
      <w:bookmarkStart w:id="1" w:name="_Toc421277690"/>
      <w:bookmarkStart w:id="2" w:name="_Toc25824"/>
      <w:bookmarkStart w:id="3" w:name="_Toc414614594"/>
      <w:bookmarkStart w:id="4" w:name="_Toc427148984"/>
      <w:bookmarkStart w:id="5" w:name="_Toc414266428"/>
      <w:r>
        <w:rPr>
          <w:rFonts w:hint="eastAsia" w:ascii="黑体" w:hAnsi="黑体" w:eastAsia="黑体"/>
          <w:b/>
          <w:color w:val="000000"/>
          <w:sz w:val="40"/>
          <w:szCs w:val="44"/>
          <w:lang w:val="en-US" w:eastAsia="zh-CN"/>
        </w:rPr>
        <w:t>成都市</w:t>
      </w:r>
      <w:r>
        <w:rPr>
          <w:rFonts w:hint="eastAsia" w:ascii="黑体" w:hAnsi="黑体" w:eastAsia="黑体"/>
          <w:b/>
          <w:color w:val="000000"/>
          <w:sz w:val="40"/>
          <w:szCs w:val="44"/>
        </w:rPr>
        <w:t>温江区</w:t>
      </w:r>
      <w:r>
        <w:rPr>
          <w:rFonts w:hint="eastAsia" w:ascii="黑体" w:hAnsi="黑体" w:eastAsia="黑体"/>
          <w:b/>
          <w:color w:val="000000"/>
          <w:sz w:val="40"/>
          <w:szCs w:val="44"/>
          <w:lang w:val="en-US" w:eastAsia="zh-CN"/>
        </w:rPr>
        <w:t>金马第三</w:t>
      </w:r>
      <w:r>
        <w:rPr>
          <w:rFonts w:hint="eastAsia" w:ascii="黑体" w:hAnsi="黑体" w:eastAsia="黑体"/>
          <w:b/>
          <w:color w:val="000000"/>
          <w:sz w:val="40"/>
          <w:szCs w:val="44"/>
        </w:rPr>
        <w:t>幼儿园</w:t>
      </w:r>
    </w:p>
    <w:p>
      <w:pPr>
        <w:pStyle w:val="6"/>
        <w:spacing w:before="156" w:beforeLines="50"/>
        <w:jc w:val="center"/>
        <w:rPr>
          <w:rFonts w:ascii="宋体" w:hAnsi="宋体"/>
          <w:b/>
          <w:kern w:val="44"/>
          <w:sz w:val="44"/>
          <w:szCs w:val="44"/>
        </w:rPr>
      </w:pPr>
      <w:r>
        <w:rPr>
          <w:rFonts w:hint="eastAsia" w:ascii="黑体" w:hAnsi="黑体" w:eastAsia="黑体"/>
          <w:b/>
          <w:color w:val="000000"/>
          <w:sz w:val="40"/>
          <w:szCs w:val="44"/>
        </w:rPr>
        <w:t>多功能厅</w:t>
      </w:r>
      <w:r>
        <w:rPr>
          <w:rFonts w:hint="eastAsia" w:ascii="黑体" w:hAnsi="黑体" w:eastAsia="黑体"/>
          <w:b/>
          <w:color w:val="000000"/>
          <w:sz w:val="40"/>
          <w:szCs w:val="44"/>
          <w:lang w:val="en-US" w:eastAsia="zh-CN"/>
        </w:rPr>
        <w:t>LED屏幕及灯光</w:t>
      </w:r>
      <w:r>
        <w:rPr>
          <w:rFonts w:hint="eastAsia" w:ascii="黑体" w:hAnsi="黑体" w:eastAsia="黑体"/>
          <w:b/>
          <w:color w:val="000000"/>
          <w:sz w:val="40"/>
          <w:szCs w:val="44"/>
        </w:rPr>
        <w:t>采购方案</w:t>
      </w:r>
    </w:p>
    <w:bookmarkEnd w:id="0"/>
    <w:bookmarkEnd w:id="1"/>
    <w:bookmarkEnd w:id="2"/>
    <w:bookmarkEnd w:id="3"/>
    <w:bookmarkEnd w:id="4"/>
    <w:bookmarkEnd w:id="5"/>
    <w:p>
      <w:pPr>
        <w:numPr>
          <w:ilvl w:val="0"/>
          <w:numId w:val="0"/>
        </w:numPr>
        <w:spacing w:line="500" w:lineRule="exact"/>
        <w:ind w:firstLine="482" w:firstLineChars="200"/>
        <w:rPr>
          <w:rFonts w:hint="eastAsia" w:ascii="宋体" w:hAnsi="宋体" w:eastAsia="宋体" w:cs="宋体"/>
          <w:b/>
          <w:bCs/>
          <w:sz w:val="24"/>
          <w:szCs w:val="24"/>
          <w:lang w:val="en-US" w:eastAsia="zh-CN"/>
        </w:rPr>
      </w:pPr>
      <w:bookmarkStart w:id="6" w:name="_Toc477520588"/>
      <w:r>
        <w:rPr>
          <w:rFonts w:hint="eastAsia" w:ascii="宋体" w:hAnsi="宋体" w:eastAsia="宋体" w:cs="宋体"/>
          <w:b/>
          <w:bCs/>
          <w:sz w:val="24"/>
          <w:szCs w:val="24"/>
          <w:lang w:val="en-US" w:eastAsia="zh-CN"/>
        </w:rPr>
        <w:t>一、项目背景</w:t>
      </w:r>
      <w:bookmarkEnd w:id="6"/>
      <w:bookmarkStart w:id="7" w:name="_Toc454289276"/>
      <w:bookmarkStart w:id="8" w:name="_Toc477520589"/>
      <w:bookmarkStart w:id="9" w:name="_Toc449538971"/>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成都市温江区金马第三幼儿园系原成都市温江区金马镇金明幼儿园</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2023年6月金马中心幼儿园领办。2023年7月，金马镇金明幼儿园、成都光华兴教有限公司与金马第三幼儿园在温江区教育装备管理中心、温江区教育局学前教育科的见证下进行了资产盘点与交接。结果显示，</w:t>
      </w:r>
      <w:r>
        <w:rPr>
          <w:rFonts w:hint="eastAsia" w:ascii="宋体" w:hAnsi="宋体" w:cs="宋体"/>
          <w:sz w:val="24"/>
          <w:szCs w:val="24"/>
          <w:lang w:val="en-US" w:eastAsia="zh-CN"/>
        </w:rPr>
        <w:t>多功能厅未配置LED屏幕、扩声系统、灯光系统、多功能厅桌椅等设施。</w:t>
      </w:r>
      <w:r>
        <w:rPr>
          <w:rFonts w:hint="eastAsia" w:ascii="宋体" w:hAnsi="宋体" w:eastAsia="宋体" w:cs="宋体"/>
          <w:sz w:val="24"/>
          <w:szCs w:val="24"/>
          <w:lang w:val="en-US" w:eastAsia="zh-CN"/>
        </w:rPr>
        <w:t>目前，金马第三幼儿园已顺利完成了招生、教师招聘等工作，根据幼儿园的办园规模，金马第三幼儿园办园规模为12个班，容纳幼儿390人。结合《幼儿园</w:t>
      </w:r>
      <w:r>
        <w:rPr>
          <w:rFonts w:hint="eastAsia" w:ascii="宋体" w:hAnsi="宋体" w:cs="宋体"/>
          <w:sz w:val="24"/>
          <w:szCs w:val="24"/>
          <w:lang w:val="en-US" w:eastAsia="zh-CN"/>
        </w:rPr>
        <w:t>教育</w:t>
      </w:r>
      <w:r>
        <w:rPr>
          <w:rFonts w:hint="eastAsia" w:ascii="宋体" w:hAnsi="宋体" w:eastAsia="宋体" w:cs="宋体"/>
          <w:sz w:val="24"/>
          <w:szCs w:val="24"/>
          <w:lang w:val="en-US" w:eastAsia="zh-CN"/>
        </w:rPr>
        <w:t>装备规范》《成都市幼儿园等级评定细则》《幼儿园保育教育质量评估细则》要求，结合金马第三幼儿园三年内评定“成都市一级幼儿园”的目标，结合资产盘点的实际情况进行查漏补缺，本着保安全、保基本、保开园的原则，梳理了以下急需配备的</w:t>
      </w:r>
      <w:r>
        <w:rPr>
          <w:rFonts w:hint="eastAsia" w:ascii="宋体" w:hAnsi="宋体" w:cs="宋体"/>
          <w:sz w:val="24"/>
          <w:szCs w:val="24"/>
          <w:lang w:val="en-US" w:eastAsia="zh-CN"/>
        </w:rPr>
        <w:t>多功能厅</w:t>
      </w:r>
      <w:r>
        <w:rPr>
          <w:rFonts w:hint="eastAsia" w:ascii="宋体" w:hAnsi="宋体" w:eastAsia="宋体" w:cs="宋体"/>
          <w:sz w:val="24"/>
          <w:szCs w:val="24"/>
          <w:lang w:val="en-US" w:eastAsia="zh-CN"/>
        </w:rPr>
        <w:t>设备设施，</w:t>
      </w:r>
      <w:r>
        <w:rPr>
          <w:rFonts w:hint="eastAsia" w:ascii="宋体" w:hAnsi="宋体" w:eastAsia="宋体" w:cs="宋体"/>
          <w:sz w:val="24"/>
          <w:szCs w:val="24"/>
        </w:rPr>
        <w:t>以满足幼儿园教育教学的需求。</w:t>
      </w:r>
    </w:p>
    <w:p>
      <w:pPr>
        <w:numPr>
          <w:ilvl w:val="0"/>
          <w:numId w:val="0"/>
        </w:numPr>
        <w:spacing w:line="500" w:lineRule="exact"/>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二、多功能厅现有情况及设备需求</w:t>
      </w:r>
    </w:p>
    <w:p>
      <w:pPr>
        <w:spacing w:line="50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幼儿园多功能厅面积10m×11m，日常需满足50人左右的活动，如：幼儿园对外开放活动、教职工周前会、教职工培训、班级特色活动、家委会伙委会、幼儿园节日庆祝活动等。</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本次将通过配备多功能厅LED屏</w:t>
      </w:r>
      <w:r>
        <w:rPr>
          <w:rFonts w:hint="eastAsia" w:ascii="宋体" w:hAnsi="宋体" w:cs="宋体"/>
          <w:sz w:val="24"/>
          <w:szCs w:val="24"/>
          <w:lang w:val="en-US" w:eastAsia="zh-CN"/>
        </w:rPr>
        <w:t>及</w:t>
      </w:r>
      <w:r>
        <w:rPr>
          <w:rFonts w:hint="eastAsia" w:ascii="宋体" w:hAnsi="宋体" w:eastAsia="宋体" w:cs="宋体"/>
          <w:sz w:val="24"/>
          <w:szCs w:val="24"/>
          <w:lang w:val="en-US" w:eastAsia="zh-CN"/>
        </w:rPr>
        <w:t>舞台灯光设备系统为召开各类会议、学术报告、观看电影、举办文艺演出等活动提供清晰卓越的音质效果及简单便捷的集中控制。以及渲染环境塑造人物形象，外化人物内在心理以及体现规定情景，烘托舞台气氛，以实现舞台艺术的整体效果，满足幼儿园日常会议、培训讲座、教育教学、幼儿园节目表演等需求。</w:t>
      </w:r>
    </w:p>
    <w:p>
      <w:pPr>
        <w:spacing w:line="500" w:lineRule="exact"/>
        <w:ind w:firstLine="480" w:firstLineChars="200"/>
        <w:rPr>
          <w:rFonts w:hint="default"/>
          <w:lang w:val="en-US" w:eastAsia="zh-CN"/>
        </w:rPr>
      </w:pPr>
      <w:r>
        <w:rPr>
          <w:rFonts w:hint="eastAsia" w:ascii="宋体" w:hAnsi="宋体" w:eastAsia="宋体" w:cs="宋体"/>
          <w:sz w:val="24"/>
          <w:szCs w:val="24"/>
          <w:lang w:val="en-US" w:eastAsia="zh-CN"/>
        </w:rPr>
        <w:t>在充分地对幼儿园实际应用需求进行分析、对现场环境进行认真考察后，得出后期建设完成后需具备以下功能需求：</w:t>
      </w:r>
    </w:p>
    <w:p>
      <w:pPr>
        <w:spacing w:line="500" w:lineRule="exact"/>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）LED屏</w:t>
      </w:r>
    </w:p>
    <w:p>
      <w:pPr>
        <w:spacing w:line="500" w:lineRule="exac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LED屏需具备以下功能：</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多功能厅LED显示屏幕可播放各种活动的PPT；幼儿园对重大活动、重要节日的背景、音乐、视频、庆祝词；幼儿园宣传视频等。</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根据幼儿园的应用需求进行分析预计采用P2.5全彩LED屏解决方案，LED显示屏系统组成由设备接收卡、处理器、</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"https://www.hqchip.com/app.html" \t "https://www.elecfans.com/led/_blank"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电源</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等部分组成。系统工作过程：有线传输系统主要完成文件信息由PC机传输至LED显示器，</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"https://m.elecfans.com/v/tag/1751/" \t "https://www.elecfans.com/led/_blank"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硬件</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控制系统中LED点阵主要任务是通过</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"https://www.elecfans.com/tags/%E7%94%B5%E6%B5%81/" \t "https://www.elecfans.com/led/_blank"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电流</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控制完成信息显示，通过单片机的扫描驱动方式的控制对LED点阵行列驱动，实现设备的驱动并最终实现接收的图文显示功能。</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通过这套LED显示屏系统可以实现对整个系统所需要显示的信息情况，能够直观、完整、准确、清晰的显示任意一路视频信息，便于及时做出判断和处理，实现实时监控和集中指挥、统一管控的目的。设计如下：</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rPr>
        <w:t>本</w:t>
      </w:r>
      <w:r>
        <w:rPr>
          <w:rFonts w:hint="eastAsia" w:ascii="宋体" w:hAnsi="宋体" w:eastAsia="宋体" w:cs="宋体"/>
          <w:bCs/>
          <w:szCs w:val="24"/>
          <w:lang w:eastAsia="zh-CN"/>
        </w:rPr>
        <w:t>次</w:t>
      </w:r>
      <w:r>
        <w:rPr>
          <w:rFonts w:hint="eastAsia" w:ascii="宋体" w:hAnsi="宋体" w:eastAsia="宋体" w:cs="宋体"/>
          <w:bCs/>
          <w:szCs w:val="24"/>
        </w:rPr>
        <w:t>采用</w:t>
      </w:r>
      <w:r>
        <w:rPr>
          <w:rFonts w:hint="eastAsia" w:ascii="宋体" w:hAnsi="宋体" w:eastAsia="宋体" w:cs="宋体"/>
          <w:bCs/>
          <w:szCs w:val="24"/>
          <w:lang w:eastAsia="zh-CN"/>
        </w:rPr>
        <w:t>全彩</w:t>
      </w:r>
      <w:r>
        <w:rPr>
          <w:rFonts w:hint="eastAsia" w:ascii="宋体" w:hAnsi="宋体" w:eastAsia="宋体" w:cs="宋体"/>
          <w:bCs/>
          <w:szCs w:val="24"/>
          <w:lang w:val="en-US" w:eastAsia="zh-CN"/>
        </w:rPr>
        <w:t>P2.5LED</w:t>
      </w:r>
      <w:r>
        <w:rPr>
          <w:rFonts w:hint="eastAsia" w:ascii="宋体" w:hAnsi="宋体" w:eastAsia="宋体" w:cs="宋体"/>
          <w:bCs/>
          <w:szCs w:val="24"/>
        </w:rPr>
        <w:t>屏</w:t>
      </w:r>
      <w:r>
        <w:rPr>
          <w:rFonts w:hint="eastAsia" w:ascii="宋体" w:hAnsi="宋体" w:cs="宋体"/>
          <w:bCs/>
          <w:szCs w:val="24"/>
          <w:lang w:eastAsia="zh-CN"/>
        </w:rPr>
        <w:t>；</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lang w:eastAsia="zh-CN"/>
        </w:rPr>
        <w:t>大屏</w:t>
      </w:r>
      <w:r>
        <w:rPr>
          <w:rFonts w:hint="eastAsia" w:ascii="宋体" w:hAnsi="宋体" w:eastAsia="宋体" w:cs="宋体"/>
          <w:bCs/>
          <w:szCs w:val="24"/>
        </w:rPr>
        <w:t>尺寸：</w:t>
      </w:r>
      <w:r>
        <w:rPr>
          <w:rFonts w:hint="eastAsia" w:ascii="宋体" w:hAnsi="宋体" w:cs="宋体"/>
          <w:bCs/>
          <w:szCs w:val="24"/>
          <w:lang w:val="en-US" w:eastAsia="zh-CN"/>
        </w:rPr>
        <w:t>3200</w:t>
      </w:r>
      <w:r>
        <w:rPr>
          <w:rFonts w:hint="eastAsia" w:ascii="宋体" w:hAnsi="宋体" w:eastAsia="宋体" w:cs="宋体"/>
          <w:bCs/>
          <w:szCs w:val="24"/>
        </w:rPr>
        <w:t>×</w:t>
      </w:r>
      <w:r>
        <w:rPr>
          <w:rFonts w:hint="eastAsia" w:ascii="宋体" w:hAnsi="宋体" w:eastAsia="宋体" w:cs="宋体"/>
          <w:bCs/>
          <w:szCs w:val="24"/>
          <w:lang w:val="en-US" w:eastAsia="zh-CN"/>
        </w:rPr>
        <w:t>2400</w:t>
      </w:r>
      <w:r>
        <w:rPr>
          <w:rFonts w:hint="eastAsia" w:ascii="宋体" w:hAnsi="宋体" w:eastAsia="宋体" w:cs="宋体"/>
          <w:bCs/>
          <w:szCs w:val="24"/>
        </w:rPr>
        <w:t xml:space="preserve">  (单位mm)</w:t>
      </w:r>
      <w:r>
        <w:rPr>
          <w:rFonts w:hint="eastAsia" w:ascii="宋体" w:hAnsi="宋体" w:cs="宋体"/>
          <w:bCs/>
          <w:szCs w:val="24"/>
          <w:lang w:eastAsia="zh-CN"/>
        </w:rPr>
        <w:t>；</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rPr>
        <w:t>底座高度：默认1000mm，实际高度根据现场确定</w:t>
      </w:r>
      <w:r>
        <w:rPr>
          <w:rFonts w:hint="eastAsia" w:ascii="宋体" w:hAnsi="宋体" w:cs="宋体"/>
          <w:bCs/>
          <w:szCs w:val="24"/>
          <w:lang w:eastAsia="zh-CN"/>
        </w:rPr>
        <w:t>；</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lang w:val="en-US" w:eastAsia="zh-CN"/>
        </w:rPr>
        <w:t>亮度 ≥600cd/㎡</w:t>
      </w:r>
      <w:r>
        <w:rPr>
          <w:rFonts w:hint="eastAsia" w:ascii="宋体" w:hAnsi="宋体" w:eastAsia="宋体" w:cs="宋体"/>
          <w:bCs/>
          <w:szCs w:val="24"/>
        </w:rPr>
        <w:t>，</w:t>
      </w:r>
      <w:r>
        <w:rPr>
          <w:rFonts w:hint="eastAsia" w:ascii="宋体" w:hAnsi="宋体" w:eastAsia="宋体" w:cs="宋体"/>
          <w:bCs/>
          <w:szCs w:val="24"/>
          <w:highlight w:val="none"/>
        </w:rPr>
        <w:t>采用直下式LED背光源，显示亮度更均匀，色域更广</w:t>
      </w:r>
      <w:r>
        <w:rPr>
          <w:rFonts w:hint="eastAsia" w:ascii="宋体" w:hAnsi="宋体" w:cs="宋体"/>
          <w:bCs/>
          <w:szCs w:val="24"/>
          <w:lang w:eastAsia="zh-CN"/>
        </w:rPr>
        <w:t>；</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lang w:eastAsia="zh-CN"/>
        </w:rPr>
        <w:t>采用表贴灯珠设计，</w:t>
      </w:r>
      <w:r>
        <w:rPr>
          <w:rFonts w:hint="eastAsia" w:ascii="宋体" w:hAnsi="宋体" w:eastAsia="宋体" w:cs="宋体"/>
          <w:bCs/>
          <w:szCs w:val="24"/>
          <w:lang w:val="en-US" w:eastAsia="zh-CN"/>
        </w:rPr>
        <w:t>显示颜色 43980亿种，</w:t>
      </w:r>
      <w:r>
        <w:rPr>
          <w:rFonts w:hint="eastAsia" w:ascii="宋体" w:hAnsi="宋体" w:eastAsia="宋体" w:cs="宋体"/>
          <w:bCs/>
          <w:szCs w:val="24"/>
          <w:lang w:eastAsia="zh-CN"/>
        </w:rPr>
        <w:t>间距越小，画质更细腻，色彩更逼真，配光好，使全彩</w:t>
      </w:r>
      <w:r>
        <w:rPr>
          <w:rFonts w:hint="eastAsia" w:ascii="宋体" w:hAnsi="宋体" w:eastAsia="宋体" w:cs="宋体"/>
          <w:bCs/>
          <w:szCs w:val="24"/>
          <w:lang w:val="en-US" w:eastAsia="zh-CN"/>
        </w:rPr>
        <w:t>LED屏呈现更好的色彩逼真效果</w:t>
      </w:r>
      <w:r>
        <w:rPr>
          <w:rFonts w:hint="eastAsia" w:ascii="宋体" w:hAnsi="宋体" w:cs="宋体"/>
          <w:bCs/>
          <w:szCs w:val="24"/>
          <w:lang w:val="en-US" w:eastAsia="zh-CN"/>
        </w:rPr>
        <w:t>；</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lang w:val="en-US" w:eastAsia="zh-CN"/>
        </w:rPr>
        <w:t xml:space="preserve"> 换帧频率 ≥60帧/秒，3840Hz</w:t>
      </w:r>
      <w:r>
        <w:rPr>
          <w:rFonts w:hint="eastAsia" w:ascii="宋体" w:hAnsi="宋体" w:eastAsia="宋体" w:cs="宋体"/>
          <w:bCs/>
          <w:szCs w:val="24"/>
          <w:lang w:eastAsia="zh-CN"/>
        </w:rPr>
        <w:t>高频率，响应速度快，大画面，强视觉，更换内容简洁方便更快速</w:t>
      </w:r>
      <w:r>
        <w:rPr>
          <w:rFonts w:hint="eastAsia" w:ascii="宋体" w:hAnsi="宋体" w:cs="宋体"/>
          <w:bCs/>
          <w:szCs w:val="24"/>
          <w:lang w:eastAsia="zh-CN"/>
        </w:rPr>
        <w:t>；</w:t>
      </w:r>
    </w:p>
    <w:p>
      <w:pPr>
        <w:pStyle w:val="7"/>
        <w:numPr>
          <w:ilvl w:val="0"/>
          <w:numId w:val="1"/>
        </w:numPr>
        <w:spacing w:line="560" w:lineRule="exact"/>
        <w:ind w:left="0" w:firstLine="480"/>
        <w:rPr>
          <w:rFonts w:hint="eastAsia" w:ascii="宋体" w:hAnsi="宋体" w:eastAsia="宋体" w:cs="宋体"/>
          <w:bCs/>
          <w:szCs w:val="24"/>
        </w:rPr>
      </w:pPr>
      <w:r>
        <w:rPr>
          <w:rFonts w:hint="eastAsia" w:ascii="宋体" w:hAnsi="宋体" w:eastAsia="宋体" w:cs="宋体"/>
          <w:bCs/>
          <w:szCs w:val="24"/>
        </w:rPr>
        <w:t>工业级设计，具有超高可靠性和高稳定性，平均无故障运行时间超过60000小时</w:t>
      </w:r>
      <w:r>
        <w:rPr>
          <w:rFonts w:hint="eastAsia" w:ascii="宋体" w:hAnsi="宋体" w:cs="宋体"/>
          <w:bCs/>
          <w:szCs w:val="24"/>
          <w:lang w:eastAsia="zh-CN"/>
        </w:rPr>
        <w:t>；</w:t>
      </w:r>
    </w:p>
    <w:p>
      <w:pPr>
        <w:pStyle w:val="7"/>
        <w:numPr>
          <w:ilvl w:val="0"/>
          <w:numId w:val="1"/>
        </w:numPr>
        <w:spacing w:line="560" w:lineRule="exact"/>
        <w:ind w:left="0" w:firstLine="480"/>
        <w:rPr>
          <w:rFonts w:hint="eastAsia" w:ascii="宋体" w:hAnsi="宋体" w:eastAsia="宋体" w:cs="宋体"/>
        </w:rPr>
      </w:pPr>
      <w:r>
        <w:rPr>
          <w:rFonts w:hint="eastAsia" w:ascii="宋体" w:hAnsi="宋体" w:eastAsia="宋体" w:cs="宋体"/>
          <w:bCs/>
          <w:szCs w:val="24"/>
        </w:rPr>
        <w:t>接口丰富，集成HDMI、DVI、VGA多路视频信号源。</w:t>
      </w:r>
    </w:p>
    <w:p>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安装效果示意图如下：</w:t>
      </w:r>
    </w:p>
    <w:p>
      <w:pPr>
        <w:pStyle w:val="2"/>
        <w:jc w:val="center"/>
        <w:rPr>
          <w:rFonts w:hint="eastAsia"/>
          <w:lang w:val="en-US" w:eastAsia="zh-CN"/>
        </w:rPr>
      </w:pPr>
      <w:r>
        <w:rPr>
          <w:rFonts w:hint="eastAsia" w:ascii="宋体" w:hAnsi="宋体" w:eastAsia="宋体" w:cs="宋体"/>
          <w:lang w:val="en-US" w:eastAsia="zh-CN"/>
        </w:rPr>
        <w:drawing>
          <wp:inline distT="0" distB="0" distL="114300" distR="114300">
            <wp:extent cx="3599815" cy="3599815"/>
            <wp:effectExtent l="0" t="0" r="635" b="635"/>
            <wp:docPr id="2" name="图片 2" descr="lQLPJxse7kb-1mjNCZDNCZCwcN1xBsB5sfoEtZOuYsBoAA_2448_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LPJxse7kb-1mjNCZDNCZCwcN1xBsB5sfoEtZOuYsBoAA_2448_2448"/>
                    <pic:cNvPicPr>
                      <a:picLocks noChangeAspect="1"/>
                    </pic:cNvPicPr>
                  </pic:nvPicPr>
                  <pic:blipFill>
                    <a:blip r:embed="rId4"/>
                    <a:stretch>
                      <a:fillRect/>
                    </a:stretch>
                  </pic:blipFill>
                  <pic:spPr>
                    <a:xfrm>
                      <a:off x="0" y="0"/>
                      <a:ext cx="3599815" cy="3599815"/>
                    </a:xfrm>
                    <a:prstGeom prst="rect">
                      <a:avLst/>
                    </a:prstGeom>
                    <a:noFill/>
                    <a:ln>
                      <a:noFill/>
                    </a:ln>
                  </pic:spPr>
                </pic:pic>
              </a:graphicData>
            </a:graphic>
          </wp:inline>
        </w:drawing>
      </w:r>
    </w:p>
    <w:p>
      <w:pPr>
        <w:spacing w:line="500" w:lineRule="exact"/>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二</w:t>
      </w:r>
      <w:r>
        <w:rPr>
          <w:rFonts w:hint="eastAsia" w:ascii="宋体" w:hAnsi="宋体" w:eastAsia="宋体" w:cs="宋体"/>
          <w:b/>
          <w:bCs/>
          <w:sz w:val="24"/>
          <w:szCs w:val="24"/>
          <w:lang w:val="en-US" w:eastAsia="zh-CN"/>
        </w:rPr>
        <w:t>）灯光</w:t>
      </w:r>
    </w:p>
    <w:p>
      <w:pPr>
        <w:spacing w:line="500" w:lineRule="exac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灯光需具备以下功能：</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1.显色性高，符合高清拍摄，高色彩还原度。</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2.光效高射程远，清晰有光泽，适应一切布光要求。</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3.发光效率高，没有红外辐射，使用寿命长，便于维护可达几万小时。</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4.满足各种文艺演出活动的需要，整个舞台的布光做到科学、合理，保证举行活动照明和现场转播录象的要求。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lang w:eastAsia="zh-CN"/>
        </w:rPr>
      </w:pPr>
      <w:r>
        <w:rPr>
          <w:rFonts w:hint="eastAsia" w:ascii="宋体" w:hAnsi="宋体" w:eastAsia="宋体" w:cs="宋体"/>
          <w:color w:val="000000"/>
          <w:kern w:val="44"/>
          <w:sz w:val="24"/>
          <w:szCs w:val="24"/>
          <w:lang w:val="en-US" w:eastAsia="zh-CN" w:bidi="ar-SA"/>
        </w:rPr>
        <w:t>幼儿园多功能厅主要是为了满足园所大型会议、</w:t>
      </w:r>
      <w:r>
        <w:rPr>
          <w:rFonts w:hint="eastAsia" w:ascii="宋体" w:hAnsi="宋体" w:cs="宋体"/>
          <w:color w:val="000000"/>
          <w:kern w:val="44"/>
          <w:sz w:val="24"/>
          <w:szCs w:val="24"/>
          <w:lang w:val="en-US" w:eastAsia="zh-CN" w:bidi="ar-SA"/>
        </w:rPr>
        <w:t>文</w:t>
      </w:r>
      <w:r>
        <w:rPr>
          <w:rFonts w:hint="eastAsia" w:ascii="宋体" w:hAnsi="宋体" w:eastAsia="宋体" w:cs="宋体"/>
          <w:color w:val="000000"/>
          <w:kern w:val="44"/>
          <w:sz w:val="24"/>
          <w:szCs w:val="24"/>
          <w:lang w:val="en-US" w:eastAsia="zh-CN" w:bidi="ar-SA"/>
        </w:rPr>
        <w:t>艺演出活动、节日庆典、娱乐活动等多功能需求的综合性活动场所。由于多功能厅的多样性需求,所以在舞台灯光设计上需要达到多功能的应用性、方便灵活的可扩展性,高度集中的数字化控制以及完善的售后服务保障体系等。多功能厅舞台灯光设计一般来说需要突出先进性、实用性、可靠性并预留丰富的接口以便日后系统的扩展升级,实现整体的强大功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多功能厅灯光系统由面光灯、电脑灯控台、灯杆及配件集成组成。通过灯光控制台有效的控制面光灯，尽量使舞台灯光色彩更加丰富，以达到多姿多彩的视觉效果对灯光控制和亮度调节，预置多种场景灯光模式调光系统。</w:t>
      </w:r>
    </w:p>
    <w:p>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lang w:val="en-US" w:eastAsia="zh-CN"/>
        </w:rPr>
      </w:pPr>
      <w:r>
        <w:rPr>
          <w:rFonts w:hint="eastAsia" w:ascii="宋体" w:hAnsi="宋体" w:eastAsia="宋体" w:cs="宋体"/>
          <w:color w:val="000000"/>
          <w:kern w:val="44"/>
          <w:sz w:val="24"/>
          <w:szCs w:val="24"/>
          <w:lang w:val="en-US" w:eastAsia="zh-CN" w:bidi="ar-SA"/>
        </w:rPr>
        <w:t>面光灯首选白光LED帕灯，LED帕灯具有光效高、灯色清亮，塑造人物立体的特点。面光灯作为舞台前去正面主光，考虑灯具横向打满舞台，面光从观众席正前方45°角投向舞台。特性如下：</w:t>
      </w:r>
    </w:p>
    <w:p>
      <w:pPr>
        <w:pStyle w:val="7"/>
        <w:numPr>
          <w:ilvl w:val="0"/>
          <w:numId w:val="1"/>
        </w:numPr>
        <w:spacing w:line="560" w:lineRule="exact"/>
        <w:ind w:left="0" w:firstLine="480"/>
        <w:rPr>
          <w:rFonts w:hint="eastAsia"/>
          <w:lang w:val="en-US" w:eastAsia="zh-CN"/>
        </w:rPr>
      </w:pPr>
      <w:r>
        <w:rPr>
          <w:rFonts w:hint="eastAsia"/>
          <w:lang w:val="en-US" w:eastAsia="zh-CN"/>
        </w:rPr>
        <w:t>输入电压：</w:t>
      </w:r>
      <w:r>
        <w:rPr>
          <w:rFonts w:hint="eastAsia" w:ascii="宋体" w:hAnsi="宋体" w:eastAsia="宋体" w:cs="宋体"/>
          <w:lang w:val="en-US" w:eastAsia="zh-CN"/>
        </w:rPr>
        <w:t>AC100-240V, 50/60Hz；功率200W</w:t>
      </w:r>
      <w:r>
        <w:rPr>
          <w:rFonts w:hint="eastAsia" w:ascii="宋体" w:hAnsi="宋体" w:cs="宋体"/>
          <w:lang w:val="en-US" w:eastAsia="zh-CN"/>
        </w:rPr>
        <w:t>；</w:t>
      </w:r>
    </w:p>
    <w:p>
      <w:pPr>
        <w:pStyle w:val="7"/>
        <w:numPr>
          <w:ilvl w:val="0"/>
          <w:numId w:val="1"/>
        </w:numPr>
        <w:spacing w:line="560" w:lineRule="exact"/>
        <w:ind w:left="0" w:firstLine="480"/>
        <w:rPr>
          <w:rFonts w:hint="eastAsia"/>
          <w:lang w:val="en-US" w:eastAsia="zh-CN"/>
        </w:rPr>
      </w:pPr>
      <w:r>
        <w:rPr>
          <w:rFonts w:hint="eastAsia"/>
          <w:lang w:val="en-US" w:eastAsia="zh-CN"/>
        </w:rPr>
        <w:t>光源：</w:t>
      </w:r>
      <w:r>
        <w:rPr>
          <w:rFonts w:hint="eastAsia" w:ascii="宋体" w:hAnsi="宋体" w:eastAsia="宋体" w:cs="宋体"/>
          <w:lang w:val="en-US" w:eastAsia="zh-CN"/>
        </w:rPr>
        <w:t>集成200W灯珠白光/暖白可选，高显指LED</w:t>
      </w:r>
      <w:r>
        <w:rPr>
          <w:rFonts w:hint="eastAsia" w:ascii="宋体" w:hAnsi="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安装效果示意图如下：</w:t>
      </w:r>
    </w:p>
    <w:p>
      <w:pPr>
        <w:pStyle w:val="2"/>
        <w:jc w:val="center"/>
        <w:rPr>
          <w:rFonts w:hint="eastAsia"/>
          <w:lang w:val="en-US" w:eastAsia="zh-CN"/>
        </w:rPr>
      </w:pPr>
      <w:r>
        <w:rPr>
          <w:rFonts w:hint="eastAsia"/>
          <w:lang w:val="en-US" w:eastAsia="zh-CN"/>
        </w:rPr>
        <w:drawing>
          <wp:inline distT="0" distB="0" distL="114300" distR="114300">
            <wp:extent cx="4232275" cy="2807970"/>
            <wp:effectExtent l="0" t="0" r="15875" b="11430"/>
            <wp:docPr id="3" name="图片 3" descr="6c63953d3e58165c96cf461fd081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c63953d3e58165c96cf461fd0815ed"/>
                    <pic:cNvPicPr>
                      <a:picLocks noChangeAspect="1"/>
                    </pic:cNvPicPr>
                  </pic:nvPicPr>
                  <pic:blipFill>
                    <a:blip r:embed="rId5"/>
                    <a:srcRect b="33647"/>
                    <a:stretch>
                      <a:fillRect/>
                    </a:stretch>
                  </pic:blipFill>
                  <pic:spPr>
                    <a:xfrm>
                      <a:off x="0" y="0"/>
                      <a:ext cx="4232275" cy="28079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根据幼儿园本身应用需求，本次多功能厅面积约100平方，可容纳约50名师生，整体环境示意平面图如下所示：</w:t>
      </w:r>
    </w:p>
    <w:p>
      <w:pPr>
        <w:pStyle w:val="3"/>
        <w:jc w:val="both"/>
        <w:rPr>
          <w:rFonts w:hint="eastAsia" w:ascii="宋体" w:hAnsi="宋体" w:eastAsia="宋体" w:cs="宋体"/>
          <w:color w:val="000000"/>
          <w:kern w:val="44"/>
          <w:sz w:val="24"/>
          <w:szCs w:val="24"/>
          <w:lang w:val="en-US" w:eastAsia="zh-CN" w:bidi="ar-SA"/>
        </w:rPr>
      </w:pPr>
      <w:r>
        <w:rPr>
          <w:rFonts w:hint="eastAsia"/>
          <w:lang w:val="en-US" w:eastAsia="zh-CN"/>
        </w:rPr>
        <w:drawing>
          <wp:inline distT="0" distB="0" distL="114300" distR="114300">
            <wp:extent cx="4377055" cy="6191885"/>
            <wp:effectExtent l="0" t="0" r="18415" b="4445"/>
            <wp:docPr id="4" name="图片 1" descr="C:\Users\Administrator\Desktop\123-Model.jpg12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123-Model.jpg123-Model"/>
                    <pic:cNvPicPr>
                      <a:picLocks noChangeAspect="1"/>
                    </pic:cNvPicPr>
                  </pic:nvPicPr>
                  <pic:blipFill>
                    <a:blip r:embed="rId6"/>
                    <a:stretch>
                      <a:fillRect/>
                    </a:stretch>
                  </pic:blipFill>
                  <pic:spPr>
                    <a:xfrm rot="-5400000">
                      <a:off x="0" y="0"/>
                      <a:ext cx="4377055" cy="6191885"/>
                    </a:xfrm>
                    <a:prstGeom prst="rect">
                      <a:avLst/>
                    </a:prstGeom>
                    <a:noFill/>
                    <a:ln>
                      <a:noFill/>
                    </a:ln>
                  </pic:spPr>
                </pic:pic>
              </a:graphicData>
            </a:graphic>
          </wp:inline>
        </w:drawing>
      </w:r>
    </w:p>
    <w:p>
      <w:pPr>
        <w:pStyle w:val="6"/>
        <w:spacing w:before="156" w:beforeLines="50" w:after="156" w:afterLines="50"/>
        <w:ind w:firstLine="482" w:firstLineChars="200"/>
        <w:outlineLvl w:val="0"/>
        <w:rPr>
          <w:rFonts w:hint="eastAsia" w:ascii="宋体" w:hAnsi="宋体" w:eastAsia="宋体" w:cs="宋体"/>
          <w:b/>
          <w:bCs/>
          <w:color w:val="000000"/>
          <w:kern w:val="44"/>
          <w:sz w:val="24"/>
          <w:szCs w:val="24"/>
          <w:lang w:val="en-US" w:eastAsia="zh-CN" w:bidi="ar-SA"/>
        </w:rPr>
      </w:pPr>
      <w:r>
        <w:rPr>
          <w:rFonts w:hint="eastAsia" w:ascii="宋体" w:hAnsi="宋体" w:cs="宋体"/>
          <w:b/>
          <w:bCs/>
          <w:color w:val="000000"/>
          <w:kern w:val="44"/>
          <w:sz w:val="24"/>
          <w:szCs w:val="24"/>
          <w:lang w:val="en-US" w:eastAsia="zh-CN" w:bidi="ar-SA"/>
        </w:rPr>
        <w:t>二、</w:t>
      </w:r>
      <w:r>
        <w:rPr>
          <w:rFonts w:hint="eastAsia" w:ascii="宋体" w:hAnsi="宋体" w:eastAsia="宋体" w:cs="宋体"/>
          <w:b/>
          <w:bCs/>
          <w:color w:val="000000"/>
          <w:kern w:val="44"/>
          <w:sz w:val="24"/>
          <w:szCs w:val="24"/>
          <w:lang w:val="en-US" w:eastAsia="zh-CN" w:bidi="ar-SA"/>
        </w:rPr>
        <w:t>设计原则</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遵循《国家教育信息化十年发展规划》、符合《成都市幼儿园教育装备规范（基本型）》和当前教育信息化的发展方向，本着经济、实用、够用及适度超前的原则；降低教育系统内部办公成本，提高办事效率，提升教育教学质量，加快教育现代化建设步伐。为实现信息设备高质、高效互联的目标要求，在系统设计构建上始终坚持以下思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1.先进性原则：采用先进成熟的主流技术，并具有长足的发展能力。先进性内容主要包括：系统设计思想先进、软硬件设备先进合理、网络结构先进、开发工具先进。系统设计既兼顾技术的成熟性，又保证系统的先进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2.可靠性原则：数字化系统建设的主要目的是为教学服务，它是校园网资源的汇集和连接的桥梁，是教育系统信息处理的核心，必须保证其稳定可靠，能够提供每周7x24小时正常和高效地运行。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3.标准性原则：系统相关设备符合国际标准或工业标准，充分利用不同的应用和不同网络的优势，将它们有机地结合起来。网络的硬件环境、通信环境、软件环境相互独立、自成平台，使相互间依赖减至最小，使其各自发挥自身的优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4.扩充性原则：系统采用的架构和设备要充分体现易升级性，基础设施有扩展能力，包括技术和性能的提升，升级时能最大限度地保护原有的硬件设备和软件投资。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5.实用性原则：系统中的设备和软件在满足先进性的同时，具有良好的实用性和性能价格比，把钱花在刀刃上。</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color w:val="000000"/>
          <w:kern w:val="44"/>
          <w:sz w:val="24"/>
          <w:szCs w:val="24"/>
          <w:lang w:val="en-US" w:eastAsia="zh-CN" w:bidi="ar-SA"/>
        </w:rPr>
      </w:pPr>
      <w:r>
        <w:rPr>
          <w:rFonts w:hint="eastAsia" w:ascii="宋体" w:hAnsi="宋体" w:eastAsia="宋体" w:cs="宋体"/>
          <w:b/>
          <w:bCs/>
          <w:color w:val="000000"/>
          <w:kern w:val="44"/>
          <w:sz w:val="24"/>
          <w:szCs w:val="24"/>
          <w:lang w:val="en-US" w:eastAsia="zh-CN" w:bidi="ar-SA"/>
        </w:rPr>
        <w:t>三、商务要求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（一）</w:t>
      </w:r>
      <w:r>
        <w:rPr>
          <w:rFonts w:hint="default" w:ascii="宋体" w:hAnsi="宋体" w:eastAsia="宋体" w:cs="宋体"/>
          <w:color w:val="000000"/>
          <w:kern w:val="44"/>
          <w:sz w:val="24"/>
          <w:szCs w:val="24"/>
          <w:lang w:val="en-US" w:eastAsia="zh-CN" w:bidi="ar-SA"/>
        </w:rPr>
        <w:t>质量保证要求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本项目的所有产品要求质保3年，质保期内因产品质量问题，需提供7×24免费上门保修服务。需要提供技术支持的能力，具有电话咨询服务、远程技术服务、现场技术支持等。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（二）</w:t>
      </w:r>
      <w:r>
        <w:rPr>
          <w:rFonts w:hint="default" w:ascii="宋体" w:hAnsi="宋体" w:eastAsia="宋体" w:cs="宋体"/>
          <w:color w:val="000000"/>
          <w:kern w:val="44"/>
          <w:sz w:val="24"/>
          <w:szCs w:val="24"/>
          <w:lang w:val="en-US" w:eastAsia="zh-CN" w:bidi="ar-SA"/>
        </w:rPr>
        <w:t>运行维护要求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1.</w:t>
      </w:r>
      <w:r>
        <w:rPr>
          <w:rFonts w:hint="default" w:ascii="宋体" w:hAnsi="宋体" w:eastAsia="宋体" w:cs="宋体"/>
          <w:color w:val="000000"/>
          <w:kern w:val="44"/>
          <w:sz w:val="24"/>
          <w:szCs w:val="24"/>
          <w:lang w:val="en-US" w:eastAsia="zh-CN" w:bidi="ar-SA"/>
        </w:rPr>
        <w:t>有完善独立的售后服务机构，一旦在设备使用过程中出现问题，需要更换，或者维修，</w:t>
      </w:r>
      <w:r>
        <w:rPr>
          <w:rFonts w:hint="eastAsia" w:ascii="宋体" w:hAnsi="宋体" w:eastAsia="宋体" w:cs="宋体"/>
          <w:color w:val="000000"/>
          <w:kern w:val="44"/>
          <w:sz w:val="24"/>
          <w:szCs w:val="24"/>
          <w:lang w:val="en-US" w:eastAsia="zh-CN" w:bidi="ar-SA"/>
        </w:rPr>
        <w:t>须在</w:t>
      </w:r>
      <w:r>
        <w:rPr>
          <w:rFonts w:hint="default" w:ascii="宋体" w:hAnsi="宋体" w:eastAsia="宋体" w:cs="宋体"/>
          <w:color w:val="000000"/>
          <w:kern w:val="44"/>
          <w:sz w:val="24"/>
          <w:szCs w:val="24"/>
          <w:lang w:val="en-US" w:eastAsia="zh-CN" w:bidi="ar-SA"/>
        </w:rPr>
        <w:t>在第一时间</w:t>
      </w:r>
      <w:r>
        <w:rPr>
          <w:rFonts w:hint="eastAsia" w:ascii="宋体" w:hAnsi="宋体" w:eastAsia="宋体" w:cs="宋体"/>
          <w:color w:val="000000"/>
          <w:kern w:val="44"/>
          <w:sz w:val="24"/>
          <w:szCs w:val="24"/>
          <w:lang w:val="en-US" w:eastAsia="zh-CN" w:bidi="ar-SA"/>
        </w:rPr>
        <w:t>电话</w:t>
      </w:r>
      <w:r>
        <w:rPr>
          <w:rFonts w:hint="default" w:ascii="宋体" w:hAnsi="宋体" w:eastAsia="宋体" w:cs="宋体"/>
          <w:color w:val="000000"/>
          <w:kern w:val="44"/>
          <w:sz w:val="24"/>
          <w:szCs w:val="24"/>
          <w:lang w:val="en-US" w:eastAsia="zh-CN" w:bidi="ar-SA"/>
        </w:rPr>
        <w:t>处理响应。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2.</w:t>
      </w:r>
      <w:r>
        <w:rPr>
          <w:rFonts w:hint="default" w:ascii="宋体" w:hAnsi="宋体" w:eastAsia="宋体" w:cs="宋体"/>
          <w:color w:val="000000"/>
          <w:kern w:val="44"/>
          <w:sz w:val="24"/>
          <w:szCs w:val="24"/>
          <w:lang w:val="en-US" w:eastAsia="zh-CN" w:bidi="ar-SA"/>
        </w:rPr>
        <w:t>在质保期内硬件维修、更换和软件故障排除、系统恢复、软件升级等所需的一切免费，提供本地化的系统软件升级支持与一定数量的备品备件。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3.</w:t>
      </w:r>
      <w:r>
        <w:rPr>
          <w:rFonts w:hint="default" w:ascii="宋体" w:hAnsi="宋体" w:eastAsia="宋体" w:cs="宋体"/>
          <w:color w:val="000000"/>
          <w:kern w:val="44"/>
          <w:sz w:val="24"/>
          <w:szCs w:val="24"/>
          <w:lang w:val="en-US" w:eastAsia="zh-CN" w:bidi="ar-SA"/>
        </w:rPr>
        <w:t>维修维护响应时间：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接到报障通知，维护电话响应不能解决的非硬件故障公司方面将在2小时内到达现场，并在到达现场后4小时内修复故障。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4.</w:t>
      </w:r>
      <w:r>
        <w:rPr>
          <w:rFonts w:hint="default" w:ascii="宋体" w:hAnsi="宋体" w:eastAsia="宋体" w:cs="宋体"/>
          <w:color w:val="000000"/>
          <w:kern w:val="44"/>
          <w:sz w:val="24"/>
          <w:szCs w:val="24"/>
          <w:lang w:val="en-US" w:eastAsia="zh-CN" w:bidi="ar-SA"/>
        </w:rPr>
        <w:t>软、硬件升级及故障：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软件升级情况：免费提供软件升级服务。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5.</w:t>
      </w:r>
      <w:r>
        <w:rPr>
          <w:rFonts w:hint="default" w:ascii="宋体" w:hAnsi="宋体" w:eastAsia="宋体" w:cs="宋体"/>
          <w:color w:val="000000"/>
          <w:kern w:val="44"/>
          <w:sz w:val="24"/>
          <w:szCs w:val="24"/>
          <w:lang w:val="en-US" w:eastAsia="zh-CN" w:bidi="ar-SA"/>
        </w:rPr>
        <w:t>备件替换服务：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质保期间有备品备件，遇到问题时能够及时更换将故障的影响降低到最低。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6</w:t>
      </w:r>
      <w:r>
        <w:rPr>
          <w:rFonts w:hint="eastAsia" w:ascii="宋体" w:hAnsi="宋体" w:eastAsia="宋体" w:cs="宋体"/>
          <w:color w:val="000000"/>
          <w:kern w:val="44"/>
          <w:sz w:val="24"/>
          <w:szCs w:val="24"/>
          <w:lang w:val="en-US" w:eastAsia="zh-CN" w:bidi="ar-SA"/>
        </w:rPr>
        <w:t>.</w:t>
      </w:r>
      <w:r>
        <w:rPr>
          <w:rFonts w:hint="default" w:ascii="宋体" w:hAnsi="宋体" w:eastAsia="宋体" w:cs="宋体"/>
          <w:color w:val="000000"/>
          <w:kern w:val="44"/>
          <w:sz w:val="24"/>
          <w:szCs w:val="24"/>
          <w:lang w:val="en-US" w:eastAsia="zh-CN" w:bidi="ar-SA"/>
        </w:rPr>
        <w:t>巡检服务：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质保期内，公司方面技术人员每三个月定期对所供的设备进行上门巡检服务，确保系统设备的正常运行。如果设备过质保期，要求厂家只是收取配件成本费用。</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color w:val="000000"/>
          <w:kern w:val="44"/>
          <w:sz w:val="24"/>
          <w:szCs w:val="24"/>
          <w:lang w:val="en-US" w:eastAsia="zh-CN" w:bidi="ar-SA"/>
        </w:rPr>
      </w:pPr>
      <w:r>
        <w:rPr>
          <w:rFonts w:hint="eastAsia" w:ascii="宋体" w:hAnsi="宋体" w:eastAsia="宋体" w:cs="宋体"/>
          <w:b/>
          <w:bCs/>
          <w:color w:val="000000"/>
          <w:kern w:val="44"/>
          <w:sz w:val="24"/>
          <w:szCs w:val="24"/>
          <w:lang w:val="en-US" w:eastAsia="zh-CN" w:bidi="ar-SA"/>
        </w:rPr>
        <w:t>四、权利与义务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1.质量要求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对安装、服务过程制定质量措施，确保工程项目、产品质量满足合同规定要求。该质量体系将适用于项目实施的全过程。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依据设计的材料清单审核进场材料材质、规格、数量。按照图纸的设计进行材料、设备的安装。项目辅材要有产品的产地、合格证及相关能证明该产品的资料。现场设备、材料的合格证书，产品说明书以及实施中发生的往来文件均以文档资料的形式妥善保管，便于追溯。对于安装的设备、数量进行校对确认并做好记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2.</w:t>
      </w:r>
      <w:r>
        <w:rPr>
          <w:rFonts w:hint="default" w:ascii="宋体" w:hAnsi="宋体" w:eastAsia="宋体" w:cs="宋体"/>
          <w:color w:val="000000"/>
          <w:kern w:val="44"/>
          <w:sz w:val="24"/>
          <w:szCs w:val="24"/>
          <w:lang w:val="en-US" w:eastAsia="zh-CN" w:bidi="ar-SA"/>
        </w:rPr>
        <w:t>验收要求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产品到货验收：双方共同检查设备的完整性，保证各种设备处于正常运行状态。检查系统设备的品牌、规格、型号、数量、技术参数等是否与合同一致，并共同依据方案要求进行验收。涉及实施、安装、环境打造的项目，设计图（效果图）由用户确认后实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实施方将对硬件及软件全部安装完成且连接完毕进行系统测试，严格按测试计划进行，做好各项原始记录，并对系统测试给出具体的测试计划、测试的内容和方法。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项目初验：项目实施完成后，将由双方共同拟定测试内容、测试指标、测试结果说明、测试仪器及方法等内容报告给项目负责人审查通过，并为用户提供初验报告。初验通过后系统进入试运行阶段。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试运行：在试运行期间，实施方工程人员将观察记录产品的各项功能实施情况，若发现问题，及时解决。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default" w:ascii="宋体" w:hAnsi="宋体" w:eastAsia="宋体" w:cs="宋体"/>
          <w:color w:val="000000"/>
          <w:kern w:val="44"/>
          <w:sz w:val="24"/>
          <w:szCs w:val="24"/>
          <w:lang w:val="en-US" w:eastAsia="zh-CN" w:bidi="ar-SA"/>
        </w:rPr>
        <w:t>项目最终验收：遵照合同要求，经过试运行后，进行最终验收。按照《财政部关于进一步加强政府采购需求和履约验收管理的指导意见》（财库〔2016〕205号）等相关规定进行。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3.安全责任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44"/>
          <w:sz w:val="24"/>
          <w:szCs w:val="24"/>
          <w:lang w:val="en-US" w:eastAsia="zh-CN" w:bidi="ar-SA"/>
        </w:rPr>
      </w:pPr>
      <w:r>
        <w:rPr>
          <w:rFonts w:hint="eastAsia" w:ascii="宋体" w:hAnsi="宋体" w:cs="宋体"/>
          <w:color w:val="000000"/>
          <w:kern w:val="44"/>
          <w:sz w:val="24"/>
          <w:szCs w:val="24"/>
          <w:lang w:val="en-US" w:eastAsia="zh-CN" w:bidi="ar-SA"/>
        </w:rPr>
        <w:t>乙方（供货单位）</w:t>
      </w:r>
      <w:r>
        <w:rPr>
          <w:rFonts w:hint="eastAsia" w:ascii="宋体" w:hAnsi="宋体" w:eastAsia="宋体" w:cs="宋体"/>
          <w:color w:val="000000"/>
          <w:kern w:val="44"/>
          <w:sz w:val="24"/>
          <w:szCs w:val="24"/>
          <w:lang w:val="en-US" w:eastAsia="zh-CN" w:bidi="ar-SA"/>
        </w:rPr>
        <w:t>必须文明施工，严格按照操作规程规范施工安装，确保设备质量与安装过程的安全</w:t>
      </w:r>
      <w:r>
        <w:rPr>
          <w:rFonts w:hint="eastAsia" w:ascii="宋体" w:hAnsi="宋体" w:cs="宋体"/>
          <w:color w:val="000000"/>
          <w:kern w:val="44"/>
          <w:sz w:val="24"/>
          <w:szCs w:val="24"/>
          <w:lang w:val="en-US" w:eastAsia="zh-CN" w:bidi="ar-SA"/>
        </w:rPr>
        <w:t>，</w:t>
      </w:r>
      <w:r>
        <w:rPr>
          <w:rFonts w:hint="eastAsia" w:ascii="宋体" w:hAnsi="宋体" w:eastAsia="宋体" w:cs="宋体"/>
          <w:color w:val="000000"/>
          <w:kern w:val="44"/>
          <w:sz w:val="24"/>
          <w:szCs w:val="24"/>
          <w:lang w:val="en-US" w:eastAsia="zh-CN" w:bidi="ar-SA"/>
        </w:rPr>
        <w:t>确保工作过程中不发生人身损害或财产损失。</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44"/>
          <w:sz w:val="24"/>
          <w:szCs w:val="24"/>
          <w:lang w:val="en-US" w:eastAsia="zh-CN" w:bidi="ar-SA"/>
        </w:rPr>
      </w:pPr>
      <w:r>
        <w:rPr>
          <w:rFonts w:hint="eastAsia" w:ascii="宋体" w:hAnsi="宋体" w:eastAsia="宋体" w:cs="宋体"/>
          <w:color w:val="000000"/>
          <w:kern w:val="44"/>
          <w:sz w:val="24"/>
          <w:szCs w:val="24"/>
          <w:lang w:val="en-US" w:eastAsia="zh-CN" w:bidi="ar-SA"/>
        </w:rPr>
        <w:t>如</w:t>
      </w:r>
      <w:r>
        <w:rPr>
          <w:rFonts w:hint="eastAsia" w:ascii="宋体" w:hAnsi="宋体" w:cs="宋体"/>
          <w:color w:val="000000"/>
          <w:kern w:val="44"/>
          <w:sz w:val="24"/>
          <w:szCs w:val="24"/>
          <w:lang w:val="en-US" w:eastAsia="zh-CN" w:bidi="ar-SA"/>
        </w:rPr>
        <w:t>乙方（供货单位）</w:t>
      </w:r>
      <w:r>
        <w:rPr>
          <w:rFonts w:hint="eastAsia" w:ascii="宋体" w:hAnsi="宋体" w:eastAsia="宋体" w:cs="宋体"/>
          <w:color w:val="000000"/>
          <w:kern w:val="44"/>
          <w:sz w:val="24"/>
          <w:szCs w:val="24"/>
          <w:lang w:val="en-US" w:eastAsia="zh-CN" w:bidi="ar-SA"/>
        </w:rPr>
        <w:t>在搬运、安装、调试以及提供的售后服务过程中发生的一切安全事故</w:t>
      </w:r>
      <w:r>
        <w:rPr>
          <w:rFonts w:hint="eastAsia" w:ascii="宋体" w:hAnsi="宋体" w:cs="宋体"/>
          <w:color w:val="000000"/>
          <w:kern w:val="44"/>
          <w:sz w:val="24"/>
          <w:szCs w:val="24"/>
          <w:lang w:val="en-US" w:eastAsia="zh-CN" w:bidi="ar-SA"/>
        </w:rPr>
        <w:t>或设备质量问题，</w:t>
      </w:r>
      <w:r>
        <w:rPr>
          <w:rFonts w:hint="eastAsia" w:ascii="宋体" w:hAnsi="宋体" w:eastAsia="宋体" w:cs="宋体"/>
          <w:color w:val="000000"/>
          <w:kern w:val="44"/>
          <w:sz w:val="24"/>
          <w:szCs w:val="24"/>
          <w:lang w:val="en-US" w:eastAsia="zh-CN" w:bidi="ar-SA"/>
        </w:rPr>
        <w:t>由</w:t>
      </w:r>
      <w:r>
        <w:rPr>
          <w:rFonts w:hint="eastAsia" w:ascii="宋体" w:hAnsi="宋体" w:cs="宋体"/>
          <w:color w:val="000000"/>
          <w:kern w:val="44"/>
          <w:sz w:val="24"/>
          <w:szCs w:val="24"/>
          <w:lang w:val="en-US" w:eastAsia="zh-CN" w:bidi="ar-SA"/>
        </w:rPr>
        <w:t>乙方（供货单位）</w:t>
      </w:r>
      <w:r>
        <w:rPr>
          <w:rFonts w:hint="eastAsia" w:ascii="宋体" w:hAnsi="宋体" w:eastAsia="宋体" w:cs="宋体"/>
          <w:color w:val="000000"/>
          <w:kern w:val="44"/>
          <w:sz w:val="24"/>
          <w:szCs w:val="24"/>
          <w:lang w:val="en-US" w:eastAsia="zh-CN" w:bidi="ar-SA"/>
        </w:rPr>
        <w:t>负责经济赔偿并作妥善处理，由此产生的经济与法律责任与</w:t>
      </w:r>
      <w:r>
        <w:rPr>
          <w:rFonts w:hint="eastAsia" w:ascii="宋体" w:hAnsi="宋体" w:cs="宋体"/>
          <w:color w:val="000000"/>
          <w:kern w:val="44"/>
          <w:sz w:val="24"/>
          <w:szCs w:val="24"/>
          <w:lang w:val="en-US" w:eastAsia="zh-CN" w:bidi="ar-SA"/>
        </w:rPr>
        <w:t>甲方（金马第三幼儿园）</w:t>
      </w:r>
      <w:r>
        <w:rPr>
          <w:rFonts w:hint="eastAsia" w:ascii="宋体" w:hAnsi="宋体" w:eastAsia="宋体" w:cs="宋体"/>
          <w:color w:val="000000"/>
          <w:kern w:val="44"/>
          <w:sz w:val="24"/>
          <w:szCs w:val="24"/>
          <w:lang w:val="en-US" w:eastAsia="zh-CN" w:bidi="ar-SA"/>
        </w:rPr>
        <w:t>无关。</w:t>
      </w:r>
    </w:p>
    <w:p>
      <w:pPr>
        <w:pStyle w:val="2"/>
        <w:rPr>
          <w:rFonts w:hint="eastAsia"/>
          <w:lang w:val="en-US" w:eastAsia="zh-CN"/>
        </w:rPr>
      </w:pPr>
      <w:bookmarkStart w:id="11" w:name="_GoBack"/>
      <w:bookmarkEnd w:id="11"/>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color w:val="000000"/>
          <w:kern w:val="44"/>
          <w:sz w:val="24"/>
          <w:szCs w:val="24"/>
          <w:lang w:val="en-US" w:eastAsia="zh-CN" w:bidi="ar-SA"/>
        </w:rPr>
      </w:pPr>
      <w:r>
        <w:rPr>
          <w:rFonts w:hint="eastAsia" w:ascii="宋体" w:hAnsi="宋体" w:eastAsia="宋体" w:cs="宋体"/>
          <w:b/>
          <w:bCs/>
          <w:color w:val="000000"/>
          <w:kern w:val="44"/>
          <w:sz w:val="24"/>
          <w:szCs w:val="24"/>
          <w:lang w:val="en-US" w:eastAsia="zh-CN" w:bidi="ar-SA"/>
        </w:rPr>
        <w:t>五、支付要求与方式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宋体"/>
          <w:color w:val="000000"/>
          <w:kern w:val="44"/>
          <w:sz w:val="24"/>
          <w:szCs w:val="24"/>
          <w:lang w:val="en-US" w:eastAsia="zh-CN" w:bidi="ar-SA"/>
        </w:rPr>
      </w:pPr>
      <w:r>
        <w:rPr>
          <w:rFonts w:hint="eastAsia" w:ascii="宋体" w:hAnsi="宋体" w:cs="宋体"/>
          <w:color w:val="000000"/>
          <w:kern w:val="44"/>
          <w:sz w:val="24"/>
          <w:szCs w:val="24"/>
          <w:lang w:val="en-US" w:eastAsia="zh-CN" w:bidi="ar-SA"/>
        </w:rPr>
        <w:t>安装调试完成试运行7天后无问题及故障，试用期结束按照《财政部关于进一步加强政府采购需求和履约验收管理的指导意见》（财库〔2016〕205号）等相关规定进行验收，验收合格后于2024年一次性支付合同款。</w:t>
      </w:r>
    </w:p>
    <w:p>
      <w:pPr>
        <w:spacing w:line="360" w:lineRule="auto"/>
        <w:ind w:firstLine="482" w:firstLineChars="200"/>
        <w:jc w:val="left"/>
        <w:rPr>
          <w:rFonts w:hint="eastAsia" w:ascii="宋体" w:hAnsi="宋体" w:eastAsia="宋体" w:cs="宋体"/>
          <w:kern w:val="44"/>
          <w:sz w:val="24"/>
          <w:lang w:eastAsia="zh-CN"/>
        </w:rPr>
      </w:pPr>
      <w:r>
        <w:rPr>
          <w:rFonts w:hint="eastAsia" w:ascii="宋体" w:hAnsi="宋体" w:cs="宋体"/>
          <w:b/>
          <w:bCs/>
          <w:kern w:val="44"/>
          <w:sz w:val="24"/>
          <w:lang w:val="en-US" w:eastAsia="zh-CN"/>
        </w:rPr>
        <w:t>六、</w:t>
      </w:r>
      <w:r>
        <w:rPr>
          <w:rFonts w:hint="eastAsia" w:ascii="宋体" w:hAnsi="宋体" w:cs="宋体"/>
          <w:b/>
          <w:bCs/>
          <w:kern w:val="44"/>
          <w:sz w:val="24"/>
        </w:rPr>
        <w:t>伴随服务：</w:t>
      </w:r>
      <w:r>
        <w:rPr>
          <w:rFonts w:hint="eastAsia" w:ascii="宋体" w:hAnsi="宋体" w:cs="宋体"/>
          <w:kern w:val="44"/>
          <w:sz w:val="24"/>
        </w:rPr>
        <w:t>终身提供管理指导</w:t>
      </w:r>
      <w:r>
        <w:rPr>
          <w:rFonts w:hint="eastAsia" w:ascii="宋体" w:hAnsi="宋体" w:cs="宋体"/>
          <w:kern w:val="44"/>
          <w:sz w:val="24"/>
          <w:lang w:val="en-US" w:eastAsia="zh-CN"/>
        </w:rPr>
        <w:t>及维护</w:t>
      </w:r>
      <w:r>
        <w:rPr>
          <w:rFonts w:hint="eastAsia" w:ascii="宋体" w:hAnsi="宋体" w:cs="宋体"/>
          <w:kern w:val="44"/>
          <w:sz w:val="24"/>
          <w:lang w:eastAsia="zh-CN"/>
        </w:rPr>
        <w:t>。</w:t>
      </w:r>
    </w:p>
    <w:p>
      <w:pPr>
        <w:spacing w:line="360" w:lineRule="auto"/>
        <w:ind w:firstLine="482" w:firstLineChars="200"/>
        <w:jc w:val="left"/>
        <w:rPr>
          <w:rFonts w:hint="eastAsia" w:ascii="宋体" w:hAnsi="宋体" w:eastAsia="宋体" w:cs="宋体"/>
          <w:kern w:val="44"/>
          <w:sz w:val="24"/>
          <w:lang w:eastAsia="zh-CN"/>
        </w:rPr>
      </w:pPr>
      <w:r>
        <w:rPr>
          <w:rFonts w:hint="eastAsia" w:ascii="宋体" w:hAnsi="宋体" w:cs="宋体"/>
          <w:b/>
          <w:bCs/>
          <w:kern w:val="44"/>
          <w:sz w:val="24"/>
          <w:lang w:val="en-US" w:eastAsia="zh-CN"/>
        </w:rPr>
        <w:t>七、</w:t>
      </w:r>
      <w:r>
        <w:rPr>
          <w:rFonts w:hint="eastAsia" w:ascii="宋体" w:hAnsi="宋体" w:cs="宋体"/>
          <w:b/>
          <w:bCs/>
          <w:kern w:val="44"/>
          <w:sz w:val="24"/>
        </w:rPr>
        <w:t>违约责任：</w:t>
      </w:r>
      <w:r>
        <w:rPr>
          <w:rFonts w:hint="eastAsia" w:ascii="宋体" w:hAnsi="宋体" w:cs="宋体"/>
          <w:kern w:val="44"/>
          <w:sz w:val="24"/>
        </w:rPr>
        <w:t>按合同约定</w:t>
      </w:r>
      <w:r>
        <w:rPr>
          <w:rFonts w:hint="eastAsia" w:ascii="宋体" w:hAnsi="宋体" w:cs="宋体"/>
          <w:kern w:val="44"/>
          <w:sz w:val="24"/>
          <w:lang w:eastAsia="zh-CN"/>
        </w:rPr>
        <w:t>。</w:t>
      </w:r>
    </w:p>
    <w:p>
      <w:pPr>
        <w:spacing w:line="500" w:lineRule="exact"/>
        <w:ind w:firstLine="482" w:firstLineChars="200"/>
      </w:pPr>
      <w:r>
        <w:rPr>
          <w:rFonts w:hint="eastAsia" w:ascii="宋体" w:hAnsi="宋体" w:cs="宋体"/>
          <w:b/>
          <w:bCs/>
          <w:color w:val="000000"/>
          <w:kern w:val="44"/>
          <w:sz w:val="24"/>
          <w:szCs w:val="24"/>
          <w:lang w:val="en-US" w:eastAsia="zh-CN" w:bidi="ar-SA"/>
        </w:rPr>
        <w:t>八</w:t>
      </w:r>
      <w:r>
        <w:rPr>
          <w:rFonts w:hint="eastAsia" w:ascii="宋体" w:hAnsi="宋体" w:eastAsia="宋体" w:cs="宋体"/>
          <w:b/>
          <w:bCs/>
          <w:color w:val="000000"/>
          <w:kern w:val="44"/>
          <w:sz w:val="24"/>
          <w:szCs w:val="24"/>
          <w:lang w:val="en-US" w:eastAsia="zh-CN" w:bidi="ar-SA"/>
        </w:rPr>
        <w:t>、</w:t>
      </w:r>
      <w:bookmarkStart w:id="10" w:name="_Toc477520590"/>
      <w:r>
        <w:rPr>
          <w:rFonts w:hint="eastAsia" w:ascii="宋体" w:hAnsi="宋体" w:eastAsia="宋体" w:cs="宋体"/>
          <w:b/>
          <w:bCs/>
          <w:color w:val="000000"/>
          <w:kern w:val="44"/>
          <w:sz w:val="24"/>
          <w:szCs w:val="24"/>
          <w:lang w:val="en-US" w:eastAsia="zh-CN" w:bidi="ar-SA"/>
        </w:rPr>
        <w:t>采购预算</w:t>
      </w:r>
      <w:bookmarkEnd w:id="10"/>
    </w:p>
    <w:tbl>
      <w:tblPr>
        <w:tblStyle w:val="4"/>
        <w:tblpPr w:leftFromText="180" w:rightFromText="180" w:vertAnchor="text" w:horzAnchor="page" w:tblpX="1860" w:tblpY="126"/>
        <w:tblOverlap w:val="never"/>
        <w:tblW w:w="8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6"/>
        <w:gridCol w:w="1395"/>
        <w:gridCol w:w="1845"/>
        <w:gridCol w:w="141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6" w:type="dxa"/>
            <w:noWrap w:val="0"/>
            <w:vAlign w:val="top"/>
          </w:tcPr>
          <w:p>
            <w:pPr>
              <w:spacing w:line="360" w:lineRule="exact"/>
              <w:jc w:val="center"/>
              <w:rPr>
                <w:rFonts w:ascii="宋体" w:hAnsi="宋体"/>
                <w:kern w:val="0"/>
                <w:sz w:val="24"/>
              </w:rPr>
            </w:pPr>
            <w:r>
              <w:rPr>
                <w:rFonts w:hint="eastAsia" w:ascii="宋体" w:hAnsi="宋体"/>
                <w:kern w:val="0"/>
                <w:sz w:val="24"/>
              </w:rPr>
              <w:t>学校名称</w:t>
            </w:r>
          </w:p>
        </w:tc>
        <w:tc>
          <w:tcPr>
            <w:tcW w:w="1395" w:type="dxa"/>
            <w:noWrap w:val="0"/>
            <w:vAlign w:val="top"/>
          </w:tcPr>
          <w:p>
            <w:pPr>
              <w:spacing w:line="360" w:lineRule="exact"/>
              <w:jc w:val="center"/>
              <w:rPr>
                <w:rFonts w:ascii="宋体" w:hAnsi="宋体"/>
                <w:kern w:val="0"/>
                <w:sz w:val="24"/>
              </w:rPr>
            </w:pPr>
            <w:r>
              <w:rPr>
                <w:rFonts w:hint="eastAsia" w:ascii="宋体" w:hAnsi="宋体"/>
                <w:kern w:val="0"/>
                <w:sz w:val="24"/>
              </w:rPr>
              <w:t>人员规模</w:t>
            </w:r>
          </w:p>
        </w:tc>
        <w:tc>
          <w:tcPr>
            <w:tcW w:w="1845" w:type="dxa"/>
            <w:noWrap w:val="0"/>
            <w:vAlign w:val="top"/>
          </w:tcPr>
          <w:p>
            <w:pPr>
              <w:spacing w:line="360" w:lineRule="exact"/>
              <w:jc w:val="center"/>
              <w:rPr>
                <w:rFonts w:hint="eastAsia" w:ascii="宋体" w:hAnsi="宋体" w:eastAsia="宋体"/>
                <w:kern w:val="0"/>
                <w:sz w:val="24"/>
                <w:lang w:val="en-US" w:eastAsia="zh-CN"/>
              </w:rPr>
            </w:pPr>
            <w:r>
              <w:rPr>
                <w:rFonts w:hint="eastAsia" w:ascii="宋体" w:hAnsi="宋体"/>
                <w:kern w:val="0"/>
                <w:sz w:val="24"/>
                <w:lang w:val="en-US" w:eastAsia="zh-CN"/>
              </w:rPr>
              <w:t>项目</w:t>
            </w:r>
          </w:p>
        </w:tc>
        <w:tc>
          <w:tcPr>
            <w:tcW w:w="1410" w:type="dxa"/>
            <w:noWrap w:val="0"/>
            <w:vAlign w:val="top"/>
          </w:tcPr>
          <w:p>
            <w:pPr>
              <w:spacing w:line="360" w:lineRule="exact"/>
              <w:jc w:val="center"/>
              <w:rPr>
                <w:rFonts w:ascii="宋体" w:hAnsi="宋体" w:eastAsia="宋体" w:cs="Times New Roman"/>
                <w:kern w:val="0"/>
                <w:sz w:val="24"/>
                <w:szCs w:val="24"/>
                <w:lang w:val="en-US" w:eastAsia="zh-CN" w:bidi="ar-SA"/>
              </w:rPr>
            </w:pPr>
            <w:r>
              <w:rPr>
                <w:rFonts w:hint="eastAsia" w:ascii="宋体" w:hAnsi="宋体"/>
                <w:kern w:val="0"/>
                <w:sz w:val="24"/>
              </w:rPr>
              <w:t>预算金额</w:t>
            </w:r>
          </w:p>
        </w:tc>
        <w:tc>
          <w:tcPr>
            <w:tcW w:w="1410" w:type="dxa"/>
            <w:noWrap w:val="0"/>
            <w:vAlign w:val="top"/>
          </w:tcPr>
          <w:p>
            <w:pPr>
              <w:spacing w:line="360" w:lineRule="exact"/>
              <w:jc w:val="center"/>
              <w:rPr>
                <w:rFonts w:hint="eastAsia" w:ascii="宋体" w:hAnsi="宋体" w:eastAsia="宋体" w:cs="Times New Roman"/>
                <w:kern w:val="0"/>
                <w:sz w:val="24"/>
                <w:szCs w:val="24"/>
                <w:lang w:val="en-US" w:eastAsia="zh-CN" w:bidi="ar-SA"/>
              </w:rPr>
            </w:pPr>
            <w:r>
              <w:rPr>
                <w:rFonts w:hint="eastAsia" w:ascii="宋体" w:hAnsi="宋体"/>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6" w:type="dxa"/>
            <w:noWrap w:val="0"/>
            <w:vAlign w:val="top"/>
          </w:tcPr>
          <w:p>
            <w:pPr>
              <w:spacing w:line="360" w:lineRule="exact"/>
              <w:rPr>
                <w:rFonts w:hint="eastAsia" w:ascii="宋体" w:hAnsi="宋体" w:eastAsia="宋体"/>
                <w:kern w:val="0"/>
                <w:sz w:val="24"/>
                <w:lang w:eastAsia="zh-CN"/>
              </w:rPr>
            </w:pPr>
            <w:r>
              <w:rPr>
                <w:rFonts w:hint="eastAsia" w:ascii="宋体" w:hAnsi="宋体"/>
                <w:kern w:val="0"/>
                <w:sz w:val="24"/>
              </w:rPr>
              <w:t>成都市温江区</w:t>
            </w:r>
            <w:r>
              <w:rPr>
                <w:rFonts w:hint="eastAsia" w:ascii="宋体" w:hAnsi="宋体"/>
                <w:kern w:val="0"/>
                <w:sz w:val="24"/>
                <w:lang w:val="en-US" w:eastAsia="zh-CN"/>
              </w:rPr>
              <w:t>金马第三</w:t>
            </w:r>
            <w:r>
              <w:rPr>
                <w:rFonts w:hint="eastAsia" w:ascii="宋体" w:hAnsi="宋体"/>
                <w:kern w:val="0"/>
                <w:sz w:val="24"/>
              </w:rPr>
              <w:t>幼儿园</w:t>
            </w:r>
          </w:p>
        </w:tc>
        <w:tc>
          <w:tcPr>
            <w:tcW w:w="1395" w:type="dxa"/>
            <w:noWrap w:val="0"/>
            <w:vAlign w:val="top"/>
          </w:tcPr>
          <w:p>
            <w:pPr>
              <w:spacing w:line="360" w:lineRule="exact"/>
              <w:jc w:val="center"/>
              <w:rPr>
                <w:rFonts w:ascii="宋体" w:hAnsi="宋体"/>
                <w:kern w:val="0"/>
                <w:sz w:val="24"/>
              </w:rPr>
            </w:pPr>
            <w:r>
              <w:rPr>
                <w:rFonts w:hint="eastAsia" w:ascii="宋体" w:hAnsi="宋体"/>
                <w:kern w:val="0"/>
                <w:sz w:val="24"/>
                <w:lang w:val="en-US" w:eastAsia="zh-CN"/>
              </w:rPr>
              <w:t>390</w:t>
            </w:r>
            <w:r>
              <w:rPr>
                <w:rFonts w:hint="eastAsia" w:ascii="宋体" w:hAnsi="宋体"/>
                <w:kern w:val="0"/>
                <w:sz w:val="24"/>
              </w:rPr>
              <w:t>人</w:t>
            </w:r>
          </w:p>
        </w:tc>
        <w:tc>
          <w:tcPr>
            <w:tcW w:w="1845" w:type="dxa"/>
            <w:noWrap w:val="0"/>
            <w:vAlign w:val="top"/>
          </w:tcPr>
          <w:p>
            <w:pPr>
              <w:pStyle w:val="2"/>
              <w:rPr>
                <w:rFonts w:hint="default" w:ascii="宋体" w:hAnsi="宋体" w:eastAsia="宋体"/>
                <w:kern w:val="0"/>
                <w:sz w:val="24"/>
                <w:lang w:val="en-US" w:eastAsia="zh-CN"/>
              </w:rPr>
            </w:pPr>
            <w:r>
              <w:rPr>
                <w:rFonts w:hint="eastAsia" w:ascii="宋体" w:hAnsi="宋体"/>
                <w:kern w:val="0"/>
                <w:sz w:val="24"/>
                <w:lang w:val="en-US" w:eastAsia="zh-CN"/>
              </w:rPr>
              <w:t>LED屏及灯光设备采购</w:t>
            </w:r>
          </w:p>
        </w:tc>
        <w:tc>
          <w:tcPr>
            <w:tcW w:w="1410" w:type="dxa"/>
            <w:noWrap w:val="0"/>
            <w:vAlign w:val="top"/>
          </w:tcPr>
          <w:p>
            <w:pPr>
              <w:spacing w:line="500" w:lineRule="exact"/>
              <w:rPr>
                <w:rFonts w:hint="default" w:ascii="宋体" w:hAnsi="宋体" w:eastAsia="宋体"/>
                <w:kern w:val="0"/>
                <w:sz w:val="24"/>
                <w:lang w:val="en-US" w:eastAsia="zh-CN"/>
              </w:rPr>
            </w:pPr>
            <w:r>
              <w:rPr>
                <w:rFonts w:hint="eastAsia" w:ascii="宋体" w:hAnsi="宋体" w:eastAsia="宋体" w:cs="Times New Roman"/>
                <w:kern w:val="0"/>
                <w:sz w:val="24"/>
                <w:szCs w:val="24"/>
                <w:lang w:val="en-US" w:eastAsia="zh-CN" w:bidi="ar-SA"/>
              </w:rPr>
              <w:t>4</w:t>
            </w:r>
            <w:r>
              <w:rPr>
                <w:rFonts w:hint="eastAsia" w:ascii="宋体" w:hAnsi="宋体" w:cs="Times New Roman"/>
                <w:kern w:val="0"/>
                <w:sz w:val="24"/>
                <w:szCs w:val="24"/>
                <w:lang w:val="en-US" w:eastAsia="zh-CN" w:bidi="ar-SA"/>
              </w:rPr>
              <w:t>67</w:t>
            </w:r>
            <w:r>
              <w:rPr>
                <w:rFonts w:hint="eastAsia" w:ascii="宋体" w:hAnsi="宋体" w:eastAsia="宋体" w:cs="Times New Roman"/>
                <w:kern w:val="0"/>
                <w:sz w:val="24"/>
                <w:szCs w:val="24"/>
                <w:lang w:val="en-US" w:eastAsia="zh-CN" w:bidi="ar-SA"/>
              </w:rPr>
              <w:t>00元</w:t>
            </w:r>
          </w:p>
        </w:tc>
        <w:tc>
          <w:tcPr>
            <w:tcW w:w="1410" w:type="dxa"/>
            <w:noWrap w:val="0"/>
            <w:vAlign w:val="top"/>
          </w:tcPr>
          <w:p>
            <w:pPr>
              <w:spacing w:line="500" w:lineRule="exact"/>
              <w:rPr>
                <w:rFonts w:ascii="宋体" w:hAnsi="宋体"/>
                <w:kern w:val="0"/>
                <w:sz w:val="24"/>
              </w:rPr>
            </w:pPr>
          </w:p>
        </w:tc>
      </w:tr>
    </w:tbl>
    <w:p>
      <w:pPr>
        <w:pStyle w:val="3"/>
      </w:pPr>
    </w:p>
    <w:p>
      <w:pPr>
        <w:bidi w:val="0"/>
      </w:pPr>
    </w:p>
    <w:p>
      <w:pPr>
        <w:bidi w:val="0"/>
      </w:pPr>
    </w:p>
    <w:p>
      <w:pPr>
        <w:bidi w:val="0"/>
      </w:pPr>
    </w:p>
    <w:p>
      <w:pPr>
        <w:bidi w:val="0"/>
      </w:pPr>
    </w:p>
    <w:p>
      <w:pPr>
        <w:bidi w:val="0"/>
      </w:pPr>
    </w:p>
    <w:p>
      <w:pPr>
        <w:bidi w:val="0"/>
      </w:pPr>
    </w:p>
    <w:p>
      <w:pPr>
        <w:bidi w:val="0"/>
      </w:pPr>
    </w:p>
    <w:p>
      <w:pPr>
        <w:tabs>
          <w:tab w:val="left" w:pos="989"/>
        </w:tabs>
        <w:bidi w:val="0"/>
        <w:jc w:val="left"/>
        <w:rPr>
          <w:rFonts w:hint="eastAsia"/>
          <w:lang w:eastAsia="zh-CN"/>
        </w:rPr>
      </w:pPr>
      <w:r>
        <w:rPr>
          <w:rFonts w:hint="eastAsia"/>
          <w:lang w:eastAsia="zh-CN"/>
        </w:rPr>
        <w:tab/>
      </w:r>
    </w:p>
    <w:p>
      <w:pPr>
        <w:pStyle w:val="2"/>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7BD7E"/>
    <w:multiLevelType w:val="singleLevel"/>
    <w:tmpl w:val="89E7BD7E"/>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WE2Y2QyNjllZjI1Y2I3OWViOGQ5MTkyYmQ1Y2YifQ=="/>
  </w:docVars>
  <w:rsids>
    <w:rsidRoot w:val="16CA3C6B"/>
    <w:rsid w:val="05B9099C"/>
    <w:rsid w:val="16CA3C6B"/>
    <w:rsid w:val="19A30E80"/>
    <w:rsid w:val="1A9C7118"/>
    <w:rsid w:val="21602A8F"/>
    <w:rsid w:val="282249EF"/>
    <w:rsid w:val="2B45156A"/>
    <w:rsid w:val="462406C2"/>
    <w:rsid w:val="4E07432D"/>
    <w:rsid w:val="52A1513A"/>
    <w:rsid w:val="5F374154"/>
    <w:rsid w:val="607253AC"/>
    <w:rsid w:val="62030D78"/>
    <w:rsid w:val="6C68761E"/>
    <w:rsid w:val="71146FD6"/>
    <w:rsid w:val="76440D46"/>
    <w:rsid w:val="76CE6CD3"/>
    <w:rsid w:val="7D056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styleId="3">
    <w:name w:val="Plain Text"/>
    <w:basedOn w:val="1"/>
    <w:qFormat/>
    <w:uiPriority w:val="0"/>
    <w:rPr>
      <w:rFonts w:ascii="宋体" w:hAnsi="Courier New"/>
      <w:kern w:val="0"/>
      <w:sz w:val="20"/>
      <w:szCs w:val="18"/>
    </w:rPr>
  </w:style>
  <w:style w:type="paragraph" w:customStyle="1" w:styleId="6">
    <w:name w:val="p0"/>
    <w:basedOn w:val="1"/>
    <w:qFormat/>
    <w:uiPriority w:val="0"/>
    <w:pPr>
      <w:widowControl/>
    </w:pPr>
    <w:rPr>
      <w:rFonts w:ascii="Times New Roman" w:hAnsi="Times New Roman"/>
      <w:kern w:val="0"/>
      <w:szCs w:val="20"/>
    </w:rPr>
  </w:style>
  <w:style w:type="paragraph" w:customStyle="1" w:styleId="7">
    <w:name w:val="样式 首行缩进:  0 字符"/>
    <w:basedOn w:val="1"/>
    <w:qFormat/>
    <w:uiPriority w:val="0"/>
    <w:pPr>
      <w:spacing w:line="360" w:lineRule="auto"/>
      <w:ind w:firstLine="200" w:firstLineChars="200"/>
    </w:pPr>
    <w:rPr>
      <w:rFonts w:ascii="Arial" w:hAnsi="Arial" w:eastAsia="宋体" w:cs="宋体"/>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4448</Words>
  <Characters>4934</Characters>
  <Lines>0</Lines>
  <Paragraphs>0</Paragraphs>
  <TotalTime>0</TotalTime>
  <ScaleCrop>false</ScaleCrop>
  <LinksUpToDate>false</LinksUpToDate>
  <CharactersWithSpaces>5050</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2023-08-04T02:30:00Z</dcterms:created>
  <dc:creator>黄茜茜</dc:creator>
  <cp:lastModifiedBy>茜茜</cp:lastModifiedBy>
  <dcterms:modified xsi:type="dcterms:W3CDTF">2012-12-31T20:00:11Z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33D9355847C54530893CEFC932E09534_13</vt:lpwstr>
  </property>
</Properties>
</file>